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W300GU-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26A765A2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7C9B46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_Toc11362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A620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0366A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_Toc15196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AC28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_Toc30850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17EE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612E5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_Toc16822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E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377C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C78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C419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_Toc27991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744C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DEF4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_Toc32541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15B92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A1D49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_Toc19878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_Toc19878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DFC8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_Toc4103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5FF3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_Toc12839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_Toc12839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91AC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_Toc16820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830A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0A73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_Toc28788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_Toc28788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2381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12F0E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_Toc28318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_Toc28318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7373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_Toc16447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_Toc16447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E3B3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9B8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_Toc18522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_Toc18522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C343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_Toc20127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_Toc20127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16AC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6253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_Toc9070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1D6ED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_Toc6309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_Toc6309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6C9F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9BB0D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_Toc18826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_Toc18826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F6C3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_Toc8885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_Toc8885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A9EC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6298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BF5D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_Toc14301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935688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6A038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_Toc16727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C6817D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_Toc19097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D635D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4B7A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_Toc12676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F1B399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_Toc13079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_Toc13079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AC78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D91DC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_Toc11909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_Toc11909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FEBB4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5D8AE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_Toc28331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_Toc28331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40D95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_Toc25153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A26FA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AD91E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9282F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266321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4F175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6571D758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13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3540"/>
      <w:bookmarkStart w:id="4" w:name="_Toc4409"/>
      <w:bookmarkStart w:id="5" w:name="_Toc20716"/>
      <w:bookmarkStart w:id="6" w:name="_Toc32181"/>
      <w:bookmarkStart w:id="7" w:name="_Toc496193103"/>
      <w:bookmarkStart w:id="8" w:name="_Toc440976902"/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2.设备使</w:t>
      </w:r>
      <w:r>
        <w:rPr>
          <w:rFonts w:hint="eastAsia"/>
          <w:b/>
          <w:bCs w:val="0"/>
          <w:sz w:val="44"/>
          <w:szCs w:val="44"/>
          <w:lang w:val="en-US" w:eastAsia="zh-CN"/>
        </w:rPr>
        <w:t>用说明</w:t>
      </w:r>
      <w:bookmarkEnd w:id="3"/>
      <w:bookmarkEnd w:id="4"/>
      <w:bookmarkEnd w:id="5"/>
      <w:bookmarkEnd w:id="6"/>
    </w:p>
    <w:p w14:paraId="30F7A94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1117"/>
      <w:bookmarkStart w:id="11" w:name="_Toc19052"/>
      <w:bookmarkStart w:id="12" w:name="_Toc17269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9"/>
      <w:bookmarkEnd w:id="10"/>
      <w:bookmarkEnd w:id="11"/>
      <w:bookmarkEnd w:id="12"/>
    </w:p>
    <w:p w14:paraId="5E241588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E538CF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439E725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1EADC234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D0475D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17659735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1DBE0A1D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274D510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17E6011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33C38C9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518BC32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43D1371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1E7BFEB6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5C111621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732F6573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6A2E960F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24607550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2A6AFD2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48C619A3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超长待机模式：</w:t>
      </w:r>
    </w:p>
    <w:p w14:paraId="4DE6C0C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开发中</w:t>
      </w:r>
    </w:p>
    <w:p w14:paraId="3DA9216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消息提醒：--默认未收到文字消息不显示改界面</w:t>
      </w:r>
    </w:p>
    <w:p w14:paraId="2AB56B5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3A2DD3A2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581175F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7741"/>
      <w:bookmarkStart w:id="15" w:name="_Toc18256"/>
      <w:bookmarkStart w:id="16" w:name="_Toc2893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5AA224FD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BD2B9B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247510C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797C1A5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F9/F6：心跳包上报，默认4分钟上报一次,定位和健康上报时后也会跟着报一条</w:t>
      </w:r>
    </w:p>
    <w:p w14:paraId="2DCECB9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19CD4B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gps/wifi/蓝牙信标：默认上报频率10分钟，默认定位优先级：蓝牙信标&gt;wifi&gt;gps，蓝牙定位优先，定位不到切换wifi</w:t>
      </w:r>
    </w:p>
    <w:p w14:paraId="256D6E9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69D3A018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41C142A7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55523C2D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1BF59F37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1EBEFE90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>分钟一动不动触发上报</w:t>
      </w:r>
    </w:p>
    <w:p w14:paraId="2FCEF22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C5B62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65809987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5A7D586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B9206A1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5EA0F24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0DFE526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6C1C14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0119010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6880754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373B558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001A1D5F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27DD242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文字消息反馈(0x28):设备收到文字消息后，反馈的消息状态，0x01: 点击已确认， 0x02: 点击已拒绝</w:t>
      </w:r>
    </w:p>
    <w:p w14:paraId="03446E3D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6894"/>
      <w:bookmarkStart w:id="18" w:name="_Toc24795"/>
      <w:bookmarkStart w:id="19" w:name="_Toc1311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通用版本;下行指令需要20毫秒内连续下行两次，保障成功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上报数据，时间段外不上报，如：00：00-18：00  10分钟定位上报，那么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时间段外不上报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 编码，最多40个汉字，一个汉字占2个字节，一个英文字母占2个字节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5C84E2E">
      <w:pPr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默认定位优先级蓝牙信标&gt;wifi&gt;gps,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</w:t>
      </w:r>
    </w:p>
    <w:p w14:paraId="74AF2970">
      <w:pPr>
        <w:ind w:firstLine="720" w:firstLineChars="300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下发定位优先级为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：wifi&gt;gps&gt;蓝牙信标，则wifi定位不到切换gps,gps定位不到切换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设备健康采样频率下发(0x1C):</w:t>
      </w:r>
    </w:p>
    <w:p w14:paraId="2C3FF6D7">
      <w:pPr>
        <w:pStyle w:val="63"/>
        <w:numPr>
          <w:ilvl w:val="0"/>
          <w:numId w:val="0"/>
        </w:numPr>
        <w:adjustRightInd/>
        <w:spacing w:line="360" w:lineRule="auto"/>
        <w:ind w:left="718" w:leftChars="342" w:firstLine="0" w:firstLine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健康采样频率默认10分钟,最低2分钟上报下行指令设备收到后，设备按下发指令的时间段和频率上报数据，时间段外不上报,如：00：00-18：00  10分钟定位上报，那么时间段外不上报</w:t>
      </w:r>
    </w:p>
    <w:p w14:paraId="7EDACF4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0345C5E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默认通用版本指向为爱戴智慧云平台：118.178.184.219:8825,如需更改，可咨询相关对接人员或访问官网</w:t>
      </w:r>
    </w:p>
    <w:p w14:paraId="0094510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4247CE5E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65BB98E9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0BF4AE8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6974FC46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2987AB02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2C6166DF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天气预警下发(0xCB):</w:t>
      </w:r>
    </w:p>
    <w:p w14:paraId="425EB6A1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70059E1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(9)远程OTA下发(0xA9):</w:t>
      </w:r>
    </w:p>
    <w:p w14:paraId="1F273D95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028C228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个人信息下发(0xCA):</w:t>
      </w:r>
    </w:p>
    <w:p w14:paraId="0BA19C4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下发后手表界面会显示下发的个人信息</w:t>
      </w:r>
    </w:p>
    <w:p w14:paraId="75FBCA9B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(10)恢复出厂设置(0x7B):</w:t>
      </w:r>
    </w:p>
    <w:p w14:paraId="2990AB4D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下发后设备恢复默认出厂状态，默认状态-见5.1.12节</w:t>
      </w:r>
    </w:p>
    <w:p w14:paraId="66892A11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(11)UWB报警距离(0x79):</w:t>
      </w:r>
    </w:p>
    <w:p w14:paraId="46CD5D4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1D7D23D3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1682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7"/>
      <w:bookmarkEnd w:id="8"/>
      <w:bookmarkEnd w:id="20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96193104"/>
      <w:bookmarkStart w:id="22" w:name="_Toc440976903"/>
      <w:bookmarkStart w:id="23" w:name="_Toc73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28712"/>
      <w:bookmarkStart w:id="25" w:name="_Toc496193105"/>
      <w:bookmarkStart w:id="26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31682"/>
      <w:bookmarkStart w:id="28" w:name="_Toc496193106"/>
      <w:bookmarkStart w:id="29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27991"/>
      <w:bookmarkStart w:id="31" w:name="_Toc440976906"/>
      <w:bookmarkStart w:id="32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11423"/>
      <w:bookmarkStart w:id="34" w:name="_Toc440976907"/>
      <w:bookmarkStart w:id="35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40976908"/>
      <w:bookmarkStart w:id="37" w:name="_Toc32541"/>
      <w:bookmarkStart w:id="38" w:name="_Toc49619310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9" w:name="_Toc12623"/>
      <w:r>
        <w:rPr>
          <w:rFonts w:hint="eastAsia"/>
          <w:lang w:val="en-US" w:eastAsia="zh-CN"/>
        </w:rPr>
        <w:t>4.1连接相关上报</w:t>
      </w:r>
      <w:bookmarkEnd w:id="39"/>
    </w:p>
    <w:p w14:paraId="3AE47051">
      <w:pPr>
        <w:pStyle w:val="4"/>
        <w:numPr>
          <w:ilvl w:val="0"/>
          <w:numId w:val="0"/>
        </w:numPr>
        <w:ind w:left="851" w:leftChars="0"/>
      </w:pPr>
      <w:bookmarkStart w:id="40" w:name="_Toc496193110"/>
      <w:bookmarkStart w:id="41" w:name="_Toc440976909"/>
      <w:bookmarkStart w:id="42" w:name="_Toc19878"/>
      <w:bookmarkStart w:id="43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40"/>
      <w:bookmarkEnd w:id="41"/>
      <w:r>
        <w:rPr>
          <w:rFonts w:hint="eastAsia"/>
        </w:rPr>
        <w:t>（TCP专用）</w:t>
      </w:r>
      <w:bookmarkEnd w:id="42"/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4" w:name="_Toc440976910"/>
      <w:bookmarkStart w:id="45" w:name="_Toc496193111"/>
      <w:bookmarkStart w:id="46" w:name="_Toc118997627"/>
      <w:bookmarkStart w:id="47" w:name="_Toc410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4"/>
      <w:bookmarkEnd w:id="45"/>
      <w:r>
        <w:rPr>
          <w:rFonts w:hint="eastAsia"/>
        </w:rPr>
        <w:t>（TCP专用）</w:t>
      </w:r>
      <w:bookmarkEnd w:id="46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8" w:name="_Toc12839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8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9" w:name="_Toc1682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9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50" w:name="_Toc496193132"/>
      <w:bookmarkStart w:id="51" w:name="_Toc440976931"/>
      <w:bookmarkStart w:id="52" w:name="_Toc236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50"/>
      <w:bookmarkEnd w:id="51"/>
      <w:r>
        <w:rPr>
          <w:rFonts w:hint="eastAsia"/>
        </w:rPr>
        <w:t>(0x02)</w:t>
      </w:r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53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4" w:name="_Toc28788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53"/>
      <w:bookmarkEnd w:id="5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5" w:name="_Toc2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5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6" w:name="_Toc2831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6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7" w:name="_Toc440976915"/>
      <w:bookmarkStart w:id="58" w:name="_Toc496193116"/>
      <w:bookmarkStart w:id="59" w:name="_Toc1644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7"/>
      <w:bookmarkEnd w:id="58"/>
      <w:r>
        <w:rPr>
          <w:rFonts w:hint="eastAsia"/>
        </w:rPr>
        <w:t>上报(0x03)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60" w:name="_Toc212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6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61" w:name="_Toc18522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6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62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6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63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4" w:name="_Toc20127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4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5" w:name="_Toc315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5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6" w:name="_Toc907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7" w:name="_Toc161325608"/>
      <w:bookmarkStart w:id="68" w:name="_Toc6309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7"/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9" w:name="_Toc18397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70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70"/>
      <w:r>
        <w:rPr>
          <w:rFonts w:hint="eastAsia" w:cstheme="minorBidi"/>
          <w:lang w:val="en-US" w:eastAsia="zh-CN"/>
        </w:rPr>
        <w:t>---可不用解析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71" w:name="_Toc1882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72" w:name="_Toc8885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72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73" w:name="_Toc6162"/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73"/>
    </w:p>
    <w:p w14:paraId="5C3E585C">
      <w:pPr>
        <w:pStyle w:val="4"/>
        <w:ind w:left="851"/>
      </w:pPr>
      <w:bookmarkStart w:id="74" w:name="_Toc897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5" w:name="_Toc1430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21AD43A6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0x01: 是已确认， 0x02: 已拒绝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6" w:name="_Toc80877885"/>
      <w:bookmarkEnd w:id="76"/>
      <w:bookmarkStart w:id="77" w:name="_Toc62549207"/>
      <w:bookmarkEnd w:id="77"/>
      <w:bookmarkStart w:id="78" w:name="_Toc80877551"/>
      <w:bookmarkEnd w:id="78"/>
      <w:bookmarkStart w:id="79" w:name="_Toc72245215"/>
      <w:bookmarkEnd w:id="79"/>
      <w:bookmarkStart w:id="80" w:name="_Toc79761994"/>
      <w:bookmarkEnd w:id="80"/>
      <w:bookmarkStart w:id="81" w:name="_Toc75193550"/>
      <w:bookmarkEnd w:id="81"/>
      <w:bookmarkStart w:id="82" w:name="_Toc63339106"/>
      <w:bookmarkEnd w:id="82"/>
      <w:bookmarkStart w:id="83" w:name="_Toc75193826"/>
      <w:bookmarkEnd w:id="83"/>
      <w:bookmarkStart w:id="84" w:name="_Toc70325541"/>
      <w:bookmarkEnd w:id="84"/>
      <w:bookmarkStart w:id="85" w:name="_Toc80885233"/>
      <w:bookmarkEnd w:id="85"/>
      <w:bookmarkStart w:id="86" w:name="_Toc69991446"/>
      <w:bookmarkEnd w:id="86"/>
      <w:bookmarkStart w:id="87" w:name="_Toc69991718"/>
      <w:bookmarkEnd w:id="87"/>
      <w:bookmarkStart w:id="88" w:name="_Toc71643490"/>
      <w:bookmarkEnd w:id="88"/>
      <w:bookmarkStart w:id="89" w:name="_Toc79761659"/>
      <w:bookmarkEnd w:id="89"/>
      <w:bookmarkStart w:id="90" w:name="_Toc70066722"/>
      <w:bookmarkEnd w:id="90"/>
      <w:bookmarkStart w:id="91" w:name="_Toc80878219"/>
      <w:bookmarkEnd w:id="91"/>
      <w:bookmarkStart w:id="92" w:name="_Toc72861845"/>
      <w:bookmarkEnd w:id="92"/>
      <w:bookmarkStart w:id="93" w:name="_Toc60159145"/>
      <w:bookmarkEnd w:id="93"/>
      <w:bookmarkStart w:id="94" w:name="_Toc71644369"/>
      <w:bookmarkEnd w:id="94"/>
      <w:bookmarkStart w:id="95" w:name="_Toc82530311"/>
      <w:bookmarkEnd w:id="95"/>
      <w:bookmarkStart w:id="96" w:name="_Toc76132845"/>
      <w:bookmarkEnd w:id="96"/>
      <w:bookmarkStart w:id="97" w:name="_Toc75251633"/>
      <w:bookmarkEnd w:id="97"/>
      <w:bookmarkStart w:id="98" w:name="_Toc75194596"/>
      <w:bookmarkEnd w:id="98"/>
      <w:bookmarkStart w:id="99" w:name="_Toc75194101"/>
      <w:bookmarkEnd w:id="99"/>
      <w:bookmarkStart w:id="100" w:name="_Toc60158981"/>
      <w:bookmarkEnd w:id="100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01" w:name="_Toc131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101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102" w:name="_Toc1672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10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highlight w:val="none"/>
          <w:shd w:val="clear" w:color="FFFFFF" w:fill="D9D9D9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bookmarkStart w:id="145" w:name="_GoBack"/>
      <w:bookmarkEnd w:id="145"/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7C386481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103" w:name="_Toc190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10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4" w:name="_Toc3037"/>
      <w:bookmarkStart w:id="105" w:name="_Toc14179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4"/>
      <w:bookmarkEnd w:id="10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6" w:name="_Toc496193152"/>
      <w:bookmarkStart w:id="107" w:name="_Toc12676"/>
      <w:bookmarkStart w:id="108" w:name="_Toc1200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6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7"/>
      <w:bookmarkEnd w:id="10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9" w:name="_Toc30984"/>
      <w:bookmarkStart w:id="110" w:name="_Toc13079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9"/>
      <w:bookmarkEnd w:id="11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11" w:name="_Toc139630533"/>
      <w:bookmarkEnd w:id="111"/>
      <w:bookmarkStart w:id="112" w:name="_Toc139552453"/>
      <w:bookmarkEnd w:id="112"/>
      <w:bookmarkStart w:id="113" w:name="_Toc87892591"/>
      <w:bookmarkEnd w:id="113"/>
      <w:bookmarkStart w:id="114" w:name="_Toc87892592"/>
      <w:bookmarkEnd w:id="114"/>
      <w:bookmarkStart w:id="115" w:name="_Toc143606922"/>
      <w:bookmarkEnd w:id="115"/>
      <w:bookmarkStart w:id="116" w:name="_Toc143606923"/>
      <w:bookmarkEnd w:id="116"/>
      <w:bookmarkStart w:id="117" w:name="_Toc132387770"/>
      <w:bookmarkEnd w:id="117"/>
      <w:bookmarkStart w:id="118" w:name="_Toc138603326"/>
      <w:bookmarkEnd w:id="118"/>
      <w:bookmarkStart w:id="119" w:name="_Toc136869418"/>
      <w:bookmarkEnd w:id="119"/>
      <w:bookmarkStart w:id="120" w:name="_Toc136869419"/>
      <w:bookmarkEnd w:id="120"/>
      <w:bookmarkStart w:id="121" w:name="_Toc138603325"/>
      <w:bookmarkEnd w:id="121"/>
      <w:bookmarkStart w:id="122" w:name="_Toc139630532"/>
      <w:bookmarkEnd w:id="122"/>
      <w:bookmarkStart w:id="123" w:name="_Toc139552454"/>
      <w:bookmarkEnd w:id="123"/>
      <w:bookmarkStart w:id="124" w:name="_Toc132387769"/>
      <w:bookmarkEnd w:id="124"/>
      <w:bookmarkStart w:id="125" w:name="_Toc26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5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6" w:name="_Toc119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6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7" w:name="_Toc19949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7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8" w:name="_Toc25153"/>
      <w:bookmarkStart w:id="129" w:name="_Toc161325838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8"/>
      <w:bookmarkEnd w:id="12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30" w:name="_Toc496193153"/>
      <w:bookmarkStart w:id="131" w:name="_Toc159924449"/>
      <w:bookmarkStart w:id="132" w:name="_Toc19964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30"/>
      <w:r>
        <w:rPr>
          <w:rFonts w:hint="eastAsia"/>
        </w:rPr>
        <w:t>(0xC3)（TCP专用）</w:t>
      </w:r>
      <w:bookmarkEnd w:id="131"/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33" w:name="_Toc79159574"/>
      <w:bookmarkStart w:id="134" w:name="_Toc31235"/>
      <w:bookmarkStart w:id="135" w:name="_Toc28331"/>
      <w:bookmarkStart w:id="136" w:name="_Toc31286"/>
      <w:bookmarkStart w:id="137" w:name="_Toc807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33"/>
      <w:bookmarkEnd w:id="134"/>
      <w:bookmarkEnd w:id="13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6"/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8" w:name="_Toc496193119"/>
      <w:bookmarkStart w:id="139" w:name="_Toc440976918"/>
      <w:bookmarkStart w:id="140" w:name="_Toc159924429"/>
      <w:bookmarkStart w:id="141" w:name="_Toc29730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8"/>
      <w:bookmarkEnd w:id="139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40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2" w:name="_Toc174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4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3" w:name="_Toc11502"/>
      <w:bookmarkStart w:id="144" w:name="_Toc2853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43"/>
      <w:bookmarkEnd w:id="14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1F4193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DB97206"/>
    <w:rsid w:val="1E1632C9"/>
    <w:rsid w:val="1E20221C"/>
    <w:rsid w:val="1E286CCC"/>
    <w:rsid w:val="1E6742A6"/>
    <w:rsid w:val="1E7705A6"/>
    <w:rsid w:val="1EC2624D"/>
    <w:rsid w:val="1F1771B3"/>
    <w:rsid w:val="1F5D24DD"/>
    <w:rsid w:val="1F6E60BD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7A5347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F0695E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53A3939"/>
    <w:rsid w:val="562F2BB6"/>
    <w:rsid w:val="57B0791C"/>
    <w:rsid w:val="585C3452"/>
    <w:rsid w:val="594F6221"/>
    <w:rsid w:val="5A272E2C"/>
    <w:rsid w:val="5A3F4E93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2582</Words>
  <Characters>3571</Characters>
  <Lines>142</Lines>
  <Paragraphs>40</Paragraphs>
  <TotalTime>1</TotalTime>
  <ScaleCrop>false</ScaleCrop>
  <LinksUpToDate>false</LinksUpToDate>
  <CharactersWithSpaces>3887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2025-01-03T07:26:21Z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